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4A8CB877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4A8CB877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1B2AAC8" w:rsidR="00C842FF" w:rsidRPr="00F41C97" w:rsidRDefault="00F41C9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Culture et citoyenneté québécoise </w:t>
                            </w:r>
                          </w:p>
                          <w:p w14:paraId="2DF2C721" w14:textId="152AA167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1C3195">
                              <w:rPr>
                                <w:rFonts w:ascii="Century Gothic" w:hAnsi="Century Gothic"/>
                              </w:rPr>
                              <w:t>5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4F9A7CF7" w:rsidR="00C842FF" w:rsidRPr="00F41C97" w:rsidRDefault="00F26EF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Rémi Roy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1B2AAC8" w:rsidR="00C842FF" w:rsidRPr="00F41C97" w:rsidRDefault="00F41C9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Culture et citoyenneté québécoise </w:t>
                      </w:r>
                    </w:p>
                    <w:p w14:paraId="2DF2C721" w14:textId="152AA167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1C3195">
                        <w:rPr>
                          <w:rFonts w:ascii="Century Gothic" w:hAnsi="Century Gothic"/>
                        </w:rPr>
                        <w:t>5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4F9A7CF7" w:rsidR="00C842FF" w:rsidRPr="00F41C97" w:rsidRDefault="00F26EF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Rémi Roy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76D30F29" w:rsidR="00C842FF" w:rsidRPr="003E2EE1" w:rsidRDefault="001C3195" w:rsidP="00C842F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1C97" w:rsidRPr="003E2EE1">
        <w:rPr>
          <w:rFonts w:ascii="Arial" w:hAnsi="Arial" w:cs="Arial"/>
        </w:rPr>
        <w:t xml:space="preserve"> période</w:t>
      </w:r>
      <w:r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3853B77A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Note de cours remis par l’enseignant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9767" w:type="dxa"/>
        <w:tblLook w:val="04A0" w:firstRow="1" w:lastRow="0" w:firstColumn="1" w:lastColumn="0" w:noHBand="0" w:noVBand="1"/>
      </w:tblPr>
      <w:tblGrid>
        <w:gridCol w:w="3043"/>
        <w:gridCol w:w="6724"/>
      </w:tblGrid>
      <w:tr w:rsidR="000F6A41" w14:paraId="3DCD47D1" w14:textId="77777777" w:rsidTr="009A2C5E">
        <w:trPr>
          <w:trHeight w:val="773"/>
        </w:trPr>
        <w:tc>
          <w:tcPr>
            <w:tcW w:w="3043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724" w:type="dxa"/>
          </w:tcPr>
          <w:p w14:paraId="761C7BFB" w14:textId="7764780D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Étudier des réalités culturelles (</w:t>
            </w:r>
            <w:r w:rsidR="009A2C5E">
              <w:rPr>
                <w:rFonts w:ascii="Century Gothic" w:hAnsi="Century Gothic"/>
                <w:b/>
                <w:bCs/>
              </w:rPr>
              <w:t>Quête de sens et vision du monde, groupes sociaux et rapports de pouvoir</w:t>
            </w:r>
            <w:r>
              <w:rPr>
                <w:rFonts w:ascii="Century Gothic" w:hAnsi="Century Gothic"/>
                <w:b/>
                <w:bCs/>
              </w:rPr>
              <w:t>).</w:t>
            </w:r>
          </w:p>
        </w:tc>
      </w:tr>
      <w:tr w:rsidR="000F6A41" w14:paraId="1BD3C8F3" w14:textId="77777777" w:rsidTr="009A2C5E">
        <w:trPr>
          <w:trHeight w:val="283"/>
        </w:trPr>
        <w:tc>
          <w:tcPr>
            <w:tcW w:w="3043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724" w:type="dxa"/>
          </w:tcPr>
          <w:p w14:paraId="13862205" w14:textId="0CD08AAC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Réfléchir sur des questions éthiques.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1243AC01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Par le biais de discussion de groupe</w:t>
      </w:r>
      <w:r w:rsidR="00F26EF7">
        <w:rPr>
          <w:rFonts w:ascii="Arial" w:hAnsi="Arial" w:cs="Arial"/>
        </w:rPr>
        <w:t xml:space="preserve">, </w:t>
      </w:r>
      <w:r w:rsidRPr="003E2EE1">
        <w:rPr>
          <w:rFonts w:ascii="Arial" w:hAnsi="Arial" w:cs="Arial"/>
        </w:rPr>
        <w:t xml:space="preserve">de </w:t>
      </w:r>
      <w:r w:rsidR="00F26EF7">
        <w:rPr>
          <w:rFonts w:ascii="Arial" w:hAnsi="Arial" w:cs="Arial"/>
        </w:rPr>
        <w:t xml:space="preserve">réflexions plus personnelles et de </w:t>
      </w:r>
      <w:r w:rsidRPr="003E2EE1">
        <w:rPr>
          <w:rFonts w:ascii="Arial" w:hAnsi="Arial" w:cs="Arial"/>
        </w:rPr>
        <w:t>trava</w:t>
      </w:r>
      <w:r w:rsidR="00F26EF7">
        <w:rPr>
          <w:rFonts w:ascii="Arial" w:hAnsi="Arial" w:cs="Arial"/>
        </w:rPr>
        <w:t>ux</w:t>
      </w:r>
      <w:r w:rsidRPr="003E2EE1">
        <w:rPr>
          <w:rFonts w:ascii="Arial" w:hAnsi="Arial" w:cs="Arial"/>
        </w:rPr>
        <w:t xml:space="preserve"> d’équipe, l’élève devra discuter de </w:t>
      </w:r>
      <w:r w:rsidR="00F26EF7">
        <w:rPr>
          <w:rFonts w:ascii="Arial" w:hAnsi="Arial" w:cs="Arial"/>
        </w:rPr>
        <w:t xml:space="preserve">ses propres </w:t>
      </w:r>
      <w:r w:rsidRPr="003E2EE1">
        <w:rPr>
          <w:rFonts w:ascii="Arial" w:hAnsi="Arial" w:cs="Arial"/>
        </w:rPr>
        <w:t xml:space="preserve">réalités culturelles et </w:t>
      </w:r>
      <w:r w:rsidR="00F26EF7">
        <w:rPr>
          <w:rFonts w:ascii="Arial" w:hAnsi="Arial" w:cs="Arial"/>
        </w:rPr>
        <w:t>commencer une réflexion</w:t>
      </w:r>
      <w:r w:rsidRPr="003E2EE1">
        <w:rPr>
          <w:rFonts w:ascii="Arial" w:hAnsi="Arial" w:cs="Arial"/>
        </w:rPr>
        <w:t xml:space="preserve"> éthique. La participation des élèves est encouragée</w:t>
      </w:r>
      <w:r w:rsidR="00F26EF7">
        <w:rPr>
          <w:rFonts w:ascii="Arial" w:hAnsi="Arial" w:cs="Arial"/>
        </w:rPr>
        <w:t xml:space="preserve"> et ce,</w:t>
      </w:r>
      <w:r w:rsidRPr="003E2EE1">
        <w:rPr>
          <w:rFonts w:ascii="Arial" w:hAnsi="Arial" w:cs="Arial"/>
        </w:rPr>
        <w:t xml:space="preserve"> dans le respect </w:t>
      </w:r>
      <w:r w:rsidR="00F26EF7">
        <w:rPr>
          <w:rFonts w:ascii="Arial" w:hAnsi="Arial" w:cs="Arial"/>
        </w:rPr>
        <w:t>de celle des autres.</w:t>
      </w:r>
      <w:r w:rsidRPr="003E2EE1">
        <w:rPr>
          <w:rFonts w:ascii="Arial" w:hAnsi="Arial" w:cs="Arial"/>
        </w:rPr>
        <w:t xml:space="preserve"> </w:t>
      </w:r>
    </w:p>
    <w:p w14:paraId="141A1023" w14:textId="51F505CB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15DB9D9" w14:textId="77777777" w:rsidR="003E2EE1" w:rsidRDefault="003E2EE1" w:rsidP="008F6A8E">
      <w:pPr>
        <w:rPr>
          <w:rFonts w:ascii="Arial" w:hAnsi="Arial" w:cs="Arial"/>
        </w:rPr>
      </w:pPr>
    </w:p>
    <w:p w14:paraId="41C2DB18" w14:textId="492A6E91" w:rsidR="008F6A8E" w:rsidRPr="003E2EE1" w:rsidRDefault="00F41C97" w:rsidP="008F6A8E">
      <w:pPr>
        <w:rPr>
          <w:rFonts w:ascii="Arial" w:hAnsi="Arial" w:cs="Arial"/>
        </w:rPr>
      </w:pPr>
      <w:r w:rsidRPr="003E2EE1">
        <w:rPr>
          <w:rFonts w:ascii="Arial" w:hAnsi="Arial" w:cs="Arial"/>
        </w:rPr>
        <w:t>Si l’élève n’a pas terminé son travail en classe, il pourrait avoir à le terminer à la maison de façon occasi</w:t>
      </w:r>
      <w:r w:rsidR="0079769C" w:rsidRPr="003E2EE1">
        <w:rPr>
          <w:rFonts w:ascii="Arial" w:hAnsi="Arial" w:cs="Arial"/>
        </w:rPr>
        <w:t>onnelle. De l’étude est à prévoir pour la préparation des examens.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34B48D11" w:rsidR="0079769C" w:rsidRPr="003E2EE1" w:rsidRDefault="0079769C" w:rsidP="003E2EE1">
      <w:pPr>
        <w:rPr>
          <w:rFonts w:ascii="Arial" w:hAnsi="Arial" w:cs="Arial"/>
        </w:rPr>
      </w:pPr>
      <w:r w:rsidRPr="003E2EE1">
        <w:rPr>
          <w:rFonts w:ascii="Arial" w:hAnsi="Arial" w:cs="Arial"/>
        </w:rPr>
        <w:t>Les principaux thèmes abordés s</w:t>
      </w:r>
      <w:r w:rsidR="00F26EF7">
        <w:rPr>
          <w:rFonts w:ascii="Arial" w:hAnsi="Arial" w:cs="Arial"/>
        </w:rPr>
        <w:t xml:space="preserve">eront </w:t>
      </w:r>
      <w:r w:rsidR="009A2C5E">
        <w:rPr>
          <w:rFonts w:ascii="Arial" w:hAnsi="Arial" w:cs="Arial"/>
        </w:rPr>
        <w:t xml:space="preserve">le consentement, certaines questions philosophiques, l’évolution du droit à l’avortement, le droit à l’oubli, la charge mentale, le sexisme, </w:t>
      </w:r>
      <w:r w:rsidR="00431EBD">
        <w:rPr>
          <w:rFonts w:ascii="Arial" w:hAnsi="Arial" w:cs="Arial"/>
        </w:rPr>
        <w:t>les mouvements</w:t>
      </w:r>
      <w:r w:rsidR="009A2C5E">
        <w:rPr>
          <w:rFonts w:ascii="Arial" w:hAnsi="Arial" w:cs="Arial"/>
        </w:rPr>
        <w:t xml:space="preserve"> sociaux, les différentes discriminations</w:t>
      </w:r>
      <w:r w:rsidR="00431EBD">
        <w:rPr>
          <w:rFonts w:ascii="Arial" w:hAnsi="Arial" w:cs="Arial"/>
        </w:rPr>
        <w:t xml:space="preserve"> et </w:t>
      </w:r>
      <w:r w:rsidR="009A2C5E">
        <w:rPr>
          <w:rFonts w:ascii="Arial" w:hAnsi="Arial" w:cs="Arial"/>
        </w:rPr>
        <w:t>l’affirmation de soi</w:t>
      </w:r>
      <w:r w:rsidR="00431EBD">
        <w:rPr>
          <w:rFonts w:ascii="Arial" w:hAnsi="Arial" w:cs="Arial"/>
        </w:rPr>
        <w:t>. Plusieurs autres sujets viendront se greffer en cours d’année.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1E0978EB" w:rsidR="000F6A41" w:rsidRPr="003E2EE1" w:rsidRDefault="00945B0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Chacune des compétences ont une pondération de 50%.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9866" w:type="dxa"/>
        <w:tblLook w:val="04A0" w:firstRow="1" w:lastRow="0" w:firstColumn="1" w:lastColumn="0" w:noHBand="0" w:noVBand="1"/>
      </w:tblPr>
      <w:tblGrid>
        <w:gridCol w:w="2559"/>
        <w:gridCol w:w="4366"/>
        <w:gridCol w:w="2941"/>
      </w:tblGrid>
      <w:tr w:rsidR="00753B9C" w:rsidRPr="000F6A41" w14:paraId="51821384" w14:textId="77777777" w:rsidTr="00F26EF7">
        <w:trPr>
          <w:trHeight w:val="281"/>
        </w:trPr>
        <w:tc>
          <w:tcPr>
            <w:tcW w:w="2559" w:type="dxa"/>
          </w:tcPr>
          <w:p w14:paraId="3C611CF8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66" w:type="dxa"/>
          </w:tcPr>
          <w:p w14:paraId="74A122F8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2941" w:type="dxa"/>
          </w:tcPr>
          <w:p w14:paraId="64C76BDE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F26EF7">
        <w:trPr>
          <w:trHeight w:val="296"/>
        </w:trPr>
        <w:tc>
          <w:tcPr>
            <w:tcW w:w="2559" w:type="dxa"/>
          </w:tcPr>
          <w:p w14:paraId="06339010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4366" w:type="dxa"/>
          </w:tcPr>
          <w:p w14:paraId="032A78E1" w14:textId="4B34CB45" w:rsidR="00753B9C" w:rsidRPr="008F6A8E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1</w:t>
            </w:r>
          </w:p>
        </w:tc>
        <w:tc>
          <w:tcPr>
            <w:tcW w:w="2941" w:type="dxa"/>
          </w:tcPr>
          <w:p w14:paraId="0F6BF2A8" w14:textId="50FAE9FB" w:rsidR="00753B9C" w:rsidRPr="008F6A8E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20 %</w:t>
            </w:r>
          </w:p>
        </w:tc>
      </w:tr>
      <w:tr w:rsidR="00753B9C" w:rsidRPr="000F6A41" w14:paraId="115B7E98" w14:textId="77777777" w:rsidTr="00F26EF7">
        <w:trPr>
          <w:trHeight w:val="281"/>
        </w:trPr>
        <w:tc>
          <w:tcPr>
            <w:tcW w:w="2559" w:type="dxa"/>
          </w:tcPr>
          <w:p w14:paraId="76425B39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4366" w:type="dxa"/>
          </w:tcPr>
          <w:p w14:paraId="6AB27F28" w14:textId="6EE4D009" w:rsidR="00753B9C" w:rsidRPr="00431EBD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2</w:t>
            </w:r>
          </w:p>
        </w:tc>
        <w:tc>
          <w:tcPr>
            <w:tcW w:w="2941" w:type="dxa"/>
          </w:tcPr>
          <w:p w14:paraId="5CC51FA2" w14:textId="01A5CECB" w:rsidR="00753B9C" w:rsidRPr="008F6A8E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753B9C" w:rsidRPr="008F6A8E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</w:t>
            </w:r>
            <w:r w:rsidR="00753B9C" w:rsidRPr="008F6A8E">
              <w:rPr>
                <w:rFonts w:ascii="Century Gothic" w:hAnsi="Century Gothic"/>
              </w:rPr>
              <w:t>%</w:t>
            </w:r>
          </w:p>
        </w:tc>
      </w:tr>
      <w:tr w:rsidR="00753B9C" w:rsidRPr="000F6A41" w14:paraId="433AEEAC" w14:textId="77777777" w:rsidTr="00F26EF7">
        <w:trPr>
          <w:trHeight w:val="281"/>
        </w:trPr>
        <w:tc>
          <w:tcPr>
            <w:tcW w:w="2559" w:type="dxa"/>
          </w:tcPr>
          <w:p w14:paraId="7E14408B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4366" w:type="dxa"/>
          </w:tcPr>
          <w:p w14:paraId="69FCFE98" w14:textId="55948381" w:rsidR="00753B9C" w:rsidRPr="00F26EF7" w:rsidRDefault="00753B9C" w:rsidP="00431EBD">
            <w:pPr>
              <w:pStyle w:val="Paragraphedeliste"/>
              <w:numPr>
                <w:ilvl w:val="0"/>
                <w:numId w:val="13"/>
              </w:numPr>
              <w:ind w:right="-2561"/>
              <w:rPr>
                <w:rFonts w:ascii="Century Gothic" w:hAnsi="Century Gothic"/>
              </w:rPr>
            </w:pPr>
            <w:r w:rsidRPr="00F26EF7">
              <w:rPr>
                <w:rFonts w:ascii="Century Gothic" w:hAnsi="Century Gothic"/>
              </w:rPr>
              <w:t>2</w:t>
            </w:r>
          </w:p>
        </w:tc>
        <w:tc>
          <w:tcPr>
            <w:tcW w:w="2941" w:type="dxa"/>
          </w:tcPr>
          <w:p w14:paraId="29BFEEDA" w14:textId="44EF30C7" w:rsidR="00753B9C" w:rsidRPr="008F6A8E" w:rsidRDefault="00753B9C" w:rsidP="00431EBD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</w:t>
            </w:r>
            <w:r w:rsidR="00431EBD">
              <w:rPr>
                <w:rFonts w:ascii="Century Gothic" w:hAnsi="Century Gothic"/>
              </w:rPr>
              <w:t xml:space="preserve"> 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BC3BE2F" w14:textId="3E3BFEE1" w:rsidR="00753B9C" w:rsidRDefault="00753B9C" w:rsidP="00C842FF"/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45E19A5"/>
    <w:multiLevelType w:val="hybridMultilevel"/>
    <w:tmpl w:val="0778E5A8"/>
    <w:lvl w:ilvl="0" w:tplc="E912D7C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45" w:hanging="360"/>
      </w:pPr>
    </w:lvl>
    <w:lvl w:ilvl="2" w:tplc="0C0C001B" w:tentative="1">
      <w:start w:val="1"/>
      <w:numFmt w:val="lowerRoman"/>
      <w:lvlText w:val="%3."/>
      <w:lvlJc w:val="right"/>
      <w:pPr>
        <w:ind w:left="2565" w:hanging="180"/>
      </w:pPr>
    </w:lvl>
    <w:lvl w:ilvl="3" w:tplc="0C0C000F" w:tentative="1">
      <w:start w:val="1"/>
      <w:numFmt w:val="decimal"/>
      <w:lvlText w:val="%4."/>
      <w:lvlJc w:val="left"/>
      <w:pPr>
        <w:ind w:left="3285" w:hanging="360"/>
      </w:pPr>
    </w:lvl>
    <w:lvl w:ilvl="4" w:tplc="0C0C0019" w:tentative="1">
      <w:start w:val="1"/>
      <w:numFmt w:val="lowerLetter"/>
      <w:lvlText w:val="%5."/>
      <w:lvlJc w:val="left"/>
      <w:pPr>
        <w:ind w:left="4005" w:hanging="360"/>
      </w:pPr>
    </w:lvl>
    <w:lvl w:ilvl="5" w:tplc="0C0C001B" w:tentative="1">
      <w:start w:val="1"/>
      <w:numFmt w:val="lowerRoman"/>
      <w:lvlText w:val="%6."/>
      <w:lvlJc w:val="right"/>
      <w:pPr>
        <w:ind w:left="4725" w:hanging="180"/>
      </w:pPr>
    </w:lvl>
    <w:lvl w:ilvl="6" w:tplc="0C0C000F" w:tentative="1">
      <w:start w:val="1"/>
      <w:numFmt w:val="decimal"/>
      <w:lvlText w:val="%7."/>
      <w:lvlJc w:val="left"/>
      <w:pPr>
        <w:ind w:left="5445" w:hanging="360"/>
      </w:pPr>
    </w:lvl>
    <w:lvl w:ilvl="7" w:tplc="0C0C0019" w:tentative="1">
      <w:start w:val="1"/>
      <w:numFmt w:val="lowerLetter"/>
      <w:lvlText w:val="%8."/>
      <w:lvlJc w:val="left"/>
      <w:pPr>
        <w:ind w:left="6165" w:hanging="360"/>
      </w:pPr>
    </w:lvl>
    <w:lvl w:ilvl="8" w:tplc="0C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2E9F"/>
    <w:multiLevelType w:val="hybridMultilevel"/>
    <w:tmpl w:val="99DAB3C8"/>
    <w:lvl w:ilvl="0" w:tplc="AAC86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03067"/>
    <w:multiLevelType w:val="hybridMultilevel"/>
    <w:tmpl w:val="43CC74B4"/>
    <w:lvl w:ilvl="0" w:tplc="E51CFC2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85" w:hanging="360"/>
      </w:pPr>
    </w:lvl>
    <w:lvl w:ilvl="2" w:tplc="0C0C001B" w:tentative="1">
      <w:start w:val="1"/>
      <w:numFmt w:val="lowerRoman"/>
      <w:lvlText w:val="%3."/>
      <w:lvlJc w:val="right"/>
      <w:pPr>
        <w:ind w:left="2205" w:hanging="180"/>
      </w:pPr>
    </w:lvl>
    <w:lvl w:ilvl="3" w:tplc="0C0C000F" w:tentative="1">
      <w:start w:val="1"/>
      <w:numFmt w:val="decimal"/>
      <w:lvlText w:val="%4."/>
      <w:lvlJc w:val="left"/>
      <w:pPr>
        <w:ind w:left="2925" w:hanging="360"/>
      </w:pPr>
    </w:lvl>
    <w:lvl w:ilvl="4" w:tplc="0C0C0019" w:tentative="1">
      <w:start w:val="1"/>
      <w:numFmt w:val="lowerLetter"/>
      <w:lvlText w:val="%5."/>
      <w:lvlJc w:val="left"/>
      <w:pPr>
        <w:ind w:left="3645" w:hanging="360"/>
      </w:pPr>
    </w:lvl>
    <w:lvl w:ilvl="5" w:tplc="0C0C001B" w:tentative="1">
      <w:start w:val="1"/>
      <w:numFmt w:val="lowerRoman"/>
      <w:lvlText w:val="%6."/>
      <w:lvlJc w:val="right"/>
      <w:pPr>
        <w:ind w:left="4365" w:hanging="180"/>
      </w:pPr>
    </w:lvl>
    <w:lvl w:ilvl="6" w:tplc="0C0C000F" w:tentative="1">
      <w:start w:val="1"/>
      <w:numFmt w:val="decimal"/>
      <w:lvlText w:val="%7."/>
      <w:lvlJc w:val="left"/>
      <w:pPr>
        <w:ind w:left="5085" w:hanging="360"/>
      </w:pPr>
    </w:lvl>
    <w:lvl w:ilvl="7" w:tplc="0C0C0019" w:tentative="1">
      <w:start w:val="1"/>
      <w:numFmt w:val="lowerLetter"/>
      <w:lvlText w:val="%8."/>
      <w:lvlJc w:val="left"/>
      <w:pPr>
        <w:ind w:left="5805" w:hanging="360"/>
      </w:pPr>
    </w:lvl>
    <w:lvl w:ilvl="8" w:tplc="0C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2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1947955623">
    <w:abstractNumId w:val="10"/>
  </w:num>
  <w:num w:numId="12" w16cid:durableId="997463117">
    <w:abstractNumId w:val="11"/>
  </w:num>
  <w:num w:numId="13" w16cid:durableId="778454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93C39"/>
    <w:rsid w:val="001C3195"/>
    <w:rsid w:val="002575BA"/>
    <w:rsid w:val="003141DC"/>
    <w:rsid w:val="0033599F"/>
    <w:rsid w:val="003B2541"/>
    <w:rsid w:val="003E2EE1"/>
    <w:rsid w:val="00431EBD"/>
    <w:rsid w:val="00494246"/>
    <w:rsid w:val="00703CD3"/>
    <w:rsid w:val="00753B9C"/>
    <w:rsid w:val="007910B3"/>
    <w:rsid w:val="0079769C"/>
    <w:rsid w:val="007B44B1"/>
    <w:rsid w:val="007F43A5"/>
    <w:rsid w:val="00827684"/>
    <w:rsid w:val="008D129C"/>
    <w:rsid w:val="008F6A8E"/>
    <w:rsid w:val="00942359"/>
    <w:rsid w:val="00945B07"/>
    <w:rsid w:val="009A2C5E"/>
    <w:rsid w:val="009F6F12"/>
    <w:rsid w:val="00C63637"/>
    <w:rsid w:val="00C842FF"/>
    <w:rsid w:val="00D857A0"/>
    <w:rsid w:val="00E32320"/>
    <w:rsid w:val="00F26EF7"/>
    <w:rsid w:val="00F41C97"/>
    <w:rsid w:val="00F914A2"/>
    <w:rsid w:val="00FD33E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7DBC224E-AC06-43EC-8C79-68386494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9" ma:contentTypeDescription="Create a new document." ma:contentTypeScope="" ma:versionID="b1b6a9f06f07b3588020a47698a31729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ac62f36406a3516e683f15a3ac2fb263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customXml/itemProps2.xml><?xml version="1.0" encoding="utf-8"?>
<ds:datastoreItem xmlns:ds="http://schemas.openxmlformats.org/officeDocument/2006/customXml" ds:itemID="{34E26BC7-8258-4C7A-90D6-322CAC10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Remi Roy</cp:lastModifiedBy>
  <cp:revision>2</cp:revision>
  <dcterms:created xsi:type="dcterms:W3CDTF">2025-09-08T15:39:00Z</dcterms:created>
  <dcterms:modified xsi:type="dcterms:W3CDTF">2025-09-08T15:39:00Z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